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EEEEEE"/>
        <w:tblCellMar>
          <w:top w:w="150" w:type="dxa"/>
          <w:left w:w="150" w:type="dxa"/>
          <w:bottom w:w="150" w:type="dxa"/>
          <w:right w:w="150" w:type="dxa"/>
        </w:tblCellMar>
        <w:tblLook w:val="04A0" w:firstRow="1" w:lastRow="0" w:firstColumn="1" w:lastColumn="0" w:noHBand="0" w:noVBand="1"/>
      </w:tblPr>
      <w:tblGrid>
        <w:gridCol w:w="3923"/>
        <w:gridCol w:w="5437"/>
      </w:tblGrid>
      <w:tr w:rsidR="00434BFC" w:rsidRPr="00434BFC" w:rsidTr="00434BFC">
        <w:trPr>
          <w:gridAfter w:val="1"/>
        </w:trPr>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Gender - Career</w:t>
            </w:r>
            <w:r w:rsidRPr="00434BFC">
              <w:rPr>
                <w:rFonts w:ascii="swisscustom" w:eastAsia="Times New Roman" w:hAnsi="swisscustom" w:cs="Times New Roman"/>
                <w:b/>
                <w:bCs/>
                <w:color w:val="333333"/>
                <w:sz w:val="27"/>
                <w:szCs w:val="27"/>
              </w:rPr>
              <w:t>.</w:t>
            </w:r>
            <w:r w:rsidRPr="00434BFC">
              <w:rPr>
                <w:rFonts w:ascii="swisscustom" w:eastAsia="Times New Roman" w:hAnsi="swisscustom" w:cs="Times New Roman"/>
                <w:color w:val="333333"/>
                <w:sz w:val="27"/>
                <w:szCs w:val="27"/>
              </w:rPr>
              <w:t> This IAT often reveals a relative link between family and females and between career and males.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4"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Native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Native American</w:t>
            </w:r>
            <w:r w:rsidRPr="00434BFC">
              <w:rPr>
                <w:rFonts w:ascii="swisscustom" w:eastAsia="Times New Roman" w:hAnsi="swisscustom" w:cs="Times New Roman"/>
                <w:b/>
                <w:bCs/>
                <w:color w:val="333333"/>
                <w:sz w:val="27"/>
                <w:szCs w:val="27"/>
              </w:rPr>
              <w:t> ('Native - White American' IAT).</w:t>
            </w:r>
            <w:r w:rsidRPr="00434BFC">
              <w:rPr>
                <w:rFonts w:ascii="swisscustom" w:eastAsia="Times New Roman" w:hAnsi="swisscustom" w:cs="Times New Roman"/>
                <w:color w:val="333333"/>
                <w:sz w:val="27"/>
                <w:szCs w:val="27"/>
              </w:rPr>
              <w:t> This IAT requires the ability to recognize White and Native American faces in either classic or modern dress, and the names of places that are either American or Foreign in origin.</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5"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Gender-Science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Gender - Science</w:t>
            </w:r>
            <w:r w:rsidRPr="00434BFC">
              <w:rPr>
                <w:rFonts w:ascii="swisscustom" w:eastAsia="Times New Roman" w:hAnsi="swisscustom" w:cs="Times New Roman"/>
                <w:b/>
                <w:bCs/>
                <w:color w:val="333333"/>
                <w:sz w:val="27"/>
                <w:szCs w:val="27"/>
              </w:rPr>
              <w:t>.</w:t>
            </w:r>
            <w:r w:rsidRPr="00434BFC">
              <w:rPr>
                <w:rFonts w:ascii="swisscustom" w:eastAsia="Times New Roman" w:hAnsi="swisscustom" w:cs="Times New Roman"/>
                <w:color w:val="333333"/>
                <w:sz w:val="27"/>
                <w:szCs w:val="27"/>
              </w:rPr>
              <w:t> This IAT often reveals a relative link between liberal arts and females and between science and males.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6"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Religion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Religion</w:t>
            </w:r>
            <w:r w:rsidRPr="00434BFC">
              <w:rPr>
                <w:rFonts w:ascii="swisscustom" w:eastAsia="Times New Roman" w:hAnsi="swisscustom" w:cs="Times New Roman"/>
                <w:b/>
                <w:bCs/>
                <w:color w:val="333333"/>
                <w:sz w:val="27"/>
                <w:szCs w:val="27"/>
              </w:rPr>
              <w:t> ('Religions' IAT).</w:t>
            </w:r>
            <w:r w:rsidRPr="00434BFC">
              <w:rPr>
                <w:rFonts w:ascii="swisscustom" w:eastAsia="Times New Roman" w:hAnsi="swisscustom" w:cs="Times New Roman"/>
                <w:color w:val="333333"/>
                <w:sz w:val="27"/>
                <w:szCs w:val="27"/>
              </w:rPr>
              <w:t> This IAT requires some familiarity with religious terms from various world religions.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7"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Skin-tone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Skin-tone</w:t>
            </w:r>
            <w:r w:rsidRPr="00434BFC">
              <w:rPr>
                <w:rFonts w:ascii="swisscustom" w:eastAsia="Times New Roman" w:hAnsi="swisscustom" w:cs="Times New Roman"/>
                <w:b/>
                <w:bCs/>
                <w:color w:val="333333"/>
                <w:sz w:val="27"/>
                <w:szCs w:val="27"/>
              </w:rPr>
              <w:t> ('Light Skin - Dark Skin' IAT).</w:t>
            </w:r>
            <w:r w:rsidRPr="00434BFC">
              <w:rPr>
                <w:rFonts w:ascii="swisscustom" w:eastAsia="Times New Roman" w:hAnsi="swisscustom" w:cs="Times New Roman"/>
                <w:color w:val="333333"/>
                <w:sz w:val="27"/>
                <w:szCs w:val="27"/>
              </w:rPr>
              <w:t> This IAT requires the ability to recognize light and dark-skinned faces. It often reveals an automatic preference for light-skin relative to dark-skin.</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8"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Disability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Disability</w:t>
            </w:r>
            <w:r w:rsidRPr="00434BFC">
              <w:rPr>
                <w:rFonts w:ascii="swisscustom" w:eastAsia="Times New Roman" w:hAnsi="swisscustom" w:cs="Times New Roman"/>
                <w:b/>
                <w:bCs/>
                <w:color w:val="333333"/>
                <w:sz w:val="27"/>
                <w:szCs w:val="27"/>
              </w:rPr>
              <w:t> ('Disabled - Abled' IAT).</w:t>
            </w:r>
            <w:r w:rsidRPr="00434BFC">
              <w:rPr>
                <w:rFonts w:ascii="swisscustom" w:eastAsia="Times New Roman" w:hAnsi="swisscustom" w:cs="Times New Roman"/>
                <w:color w:val="333333"/>
                <w:sz w:val="27"/>
                <w:szCs w:val="27"/>
              </w:rPr>
              <w:t> This IAT requires the ability to recognize symbols representing abled and disabled individuals.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9"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Race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Race</w:t>
            </w:r>
            <w:r w:rsidRPr="00434BFC">
              <w:rPr>
                <w:rFonts w:ascii="swisscustom" w:eastAsia="Times New Roman" w:hAnsi="swisscustom" w:cs="Times New Roman"/>
                <w:b/>
                <w:bCs/>
                <w:color w:val="333333"/>
                <w:sz w:val="27"/>
                <w:szCs w:val="27"/>
              </w:rPr>
              <w:t> ('Black - White' IAT).</w:t>
            </w:r>
            <w:r w:rsidRPr="00434BFC">
              <w:rPr>
                <w:rFonts w:ascii="swisscustom" w:eastAsia="Times New Roman" w:hAnsi="swisscustom" w:cs="Times New Roman"/>
                <w:color w:val="333333"/>
                <w:sz w:val="27"/>
                <w:szCs w:val="27"/>
              </w:rPr>
              <w:t> This IAT requires the ability to distinguish faces of European and African origin. It indicates that most Americans have an automatic preference for white over black.</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0"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Weight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Weight</w:t>
            </w:r>
            <w:r w:rsidRPr="00434BFC">
              <w:rPr>
                <w:rFonts w:ascii="swisscustom" w:eastAsia="Times New Roman" w:hAnsi="swisscustom" w:cs="Times New Roman"/>
                <w:b/>
                <w:bCs/>
                <w:color w:val="333333"/>
                <w:sz w:val="27"/>
                <w:szCs w:val="27"/>
              </w:rPr>
              <w:t> ('Fat - Thin' IAT).</w:t>
            </w:r>
            <w:r w:rsidRPr="00434BFC">
              <w:rPr>
                <w:rFonts w:ascii="swisscustom" w:eastAsia="Times New Roman" w:hAnsi="swisscustom" w:cs="Times New Roman"/>
                <w:color w:val="333333"/>
                <w:sz w:val="27"/>
                <w:szCs w:val="27"/>
              </w:rPr>
              <w:t> This IAT requires the ability to distinguish faces of people who are obese and people who are thin. It often reveals an automatic preference for thin people relative to fat people.</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1" w:history="1">
                    <w:proofErr w:type="spellStart"/>
                    <w:r w:rsidRPr="00434BFC">
                      <w:rPr>
                        <w:rFonts w:ascii="Times New Roman" w:eastAsia="Times New Roman" w:hAnsi="Times New Roman" w:cs="Times New Roman"/>
                        <w:b/>
                        <w:bCs/>
                        <w:color w:val="FFFFFF"/>
                        <w:sz w:val="23"/>
                        <w:szCs w:val="23"/>
                        <w:u w:val="single"/>
                        <w:bdr w:val="single" w:sz="6" w:space="7" w:color="auto" w:frame="1"/>
                        <w:shd w:val="clear" w:color="auto" w:fill="0074CC"/>
                      </w:rPr>
                      <w:t>Age</w:t>
                    </w:r>
                    <w:proofErr w:type="spellEnd"/>
                    <w:r w:rsidRPr="00434BFC">
                      <w:rPr>
                        <w:rFonts w:ascii="Times New Roman" w:eastAsia="Times New Roman" w:hAnsi="Times New Roman" w:cs="Times New Roman"/>
                        <w:b/>
                        <w:bCs/>
                        <w:color w:val="FFFFFF"/>
                        <w:sz w:val="23"/>
                        <w:szCs w:val="23"/>
                        <w:u w:val="single"/>
                        <w:bdr w:val="single" w:sz="6" w:space="7" w:color="auto" w:frame="1"/>
                        <w:shd w:val="clear" w:color="auto" w:fill="0074CC"/>
                      </w:rPr>
                      <w:t xml:space="preserve">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Age</w:t>
            </w:r>
            <w:r w:rsidRPr="00434BFC">
              <w:rPr>
                <w:rFonts w:ascii="swisscustom" w:eastAsia="Times New Roman" w:hAnsi="swisscustom" w:cs="Times New Roman"/>
                <w:b/>
                <w:bCs/>
                <w:color w:val="333333"/>
                <w:sz w:val="27"/>
                <w:szCs w:val="27"/>
              </w:rPr>
              <w:t> ('Young - Old' IAT).</w:t>
            </w:r>
            <w:r w:rsidRPr="00434BFC">
              <w:rPr>
                <w:rFonts w:ascii="swisscustom" w:eastAsia="Times New Roman" w:hAnsi="swisscustom" w:cs="Times New Roman"/>
                <w:color w:val="333333"/>
                <w:sz w:val="27"/>
                <w:szCs w:val="27"/>
              </w:rPr>
              <w:t xml:space="preserve"> This IAT requires the ability to distinguish old from young </w:t>
            </w:r>
            <w:r w:rsidRPr="00434BFC">
              <w:rPr>
                <w:rFonts w:ascii="swisscustom" w:eastAsia="Times New Roman" w:hAnsi="swisscustom" w:cs="Times New Roman"/>
                <w:color w:val="333333"/>
                <w:sz w:val="27"/>
                <w:szCs w:val="27"/>
              </w:rPr>
              <w:lastRenderedPageBreak/>
              <w:t>faces. This test often indicates that Americans have automatic preference for young over old.</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2"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Sexuality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Sexuality</w:t>
            </w:r>
            <w:r w:rsidRPr="00434BFC">
              <w:rPr>
                <w:rFonts w:ascii="swisscustom" w:eastAsia="Times New Roman" w:hAnsi="swisscustom" w:cs="Times New Roman"/>
                <w:b/>
                <w:bCs/>
                <w:color w:val="333333"/>
                <w:sz w:val="27"/>
                <w:szCs w:val="27"/>
              </w:rPr>
              <w:t> ('Gay - Straight' IAT).</w:t>
            </w:r>
            <w:r w:rsidRPr="00434BFC">
              <w:rPr>
                <w:rFonts w:ascii="swisscustom" w:eastAsia="Times New Roman" w:hAnsi="swisscustom" w:cs="Times New Roman"/>
                <w:color w:val="333333"/>
                <w:sz w:val="27"/>
                <w:szCs w:val="27"/>
              </w:rPr>
              <w:t> This IAT requires the ability to distinguish words and symbols representing gay and straight people. It often reveals an automatic preference for straight relative to gay people.</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3"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Weapons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Weapons</w:t>
            </w:r>
            <w:r w:rsidRPr="00434BFC">
              <w:rPr>
                <w:rFonts w:ascii="swisscustom" w:eastAsia="Times New Roman" w:hAnsi="swisscustom" w:cs="Times New Roman"/>
                <w:b/>
                <w:bCs/>
                <w:color w:val="333333"/>
                <w:sz w:val="27"/>
                <w:szCs w:val="27"/>
              </w:rPr>
              <w:t> ('Weapons - Harmless Objects' IAT).</w:t>
            </w:r>
            <w:r w:rsidRPr="00434BFC">
              <w:rPr>
                <w:rFonts w:ascii="swisscustom" w:eastAsia="Times New Roman" w:hAnsi="swisscustom" w:cs="Times New Roman"/>
                <w:color w:val="333333"/>
                <w:sz w:val="27"/>
                <w:szCs w:val="27"/>
              </w:rPr>
              <w:t> This IAT requires the ability to recognize White and Black faces, and images of weapons or harmless objects.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4"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Asian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Asian American</w:t>
            </w:r>
            <w:r w:rsidRPr="00434BFC">
              <w:rPr>
                <w:rFonts w:ascii="swisscustom" w:eastAsia="Times New Roman" w:hAnsi="swisscustom" w:cs="Times New Roman"/>
                <w:b/>
                <w:bCs/>
                <w:color w:val="333333"/>
                <w:sz w:val="27"/>
                <w:szCs w:val="27"/>
              </w:rPr>
              <w:t> ('Asian - European American' IAT).</w:t>
            </w:r>
            <w:r w:rsidRPr="00434BFC">
              <w:rPr>
                <w:rFonts w:ascii="swisscustom" w:eastAsia="Times New Roman" w:hAnsi="swisscustom" w:cs="Times New Roman"/>
                <w:color w:val="333333"/>
                <w:sz w:val="27"/>
                <w:szCs w:val="27"/>
              </w:rPr>
              <w:t> This IAT requires the ability to recognize White and Asian-American faces, and images of places that are either American or Foreign in origin.</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5"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Arab-Muslim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Arab-Muslim</w:t>
            </w:r>
            <w:r w:rsidRPr="00434BFC">
              <w:rPr>
                <w:rFonts w:ascii="swisscustom" w:eastAsia="Times New Roman" w:hAnsi="swisscustom" w:cs="Times New Roman"/>
                <w:b/>
                <w:bCs/>
                <w:color w:val="333333"/>
                <w:sz w:val="27"/>
                <w:szCs w:val="27"/>
              </w:rPr>
              <w:t> ('Arab Muslim - Other People' IAT).</w:t>
            </w:r>
            <w:r w:rsidRPr="00434BFC">
              <w:rPr>
                <w:rFonts w:ascii="swisscustom" w:eastAsia="Times New Roman" w:hAnsi="swisscustom" w:cs="Times New Roman"/>
                <w:color w:val="333333"/>
                <w:sz w:val="27"/>
                <w:szCs w:val="27"/>
              </w:rPr>
              <w:t> This IAT requires the ability to distinguish names that are likely to belong to Arab-Muslims versus people of other nationalities or religions.</w:t>
            </w:r>
          </w:p>
        </w:tc>
      </w:tr>
      <w:tr w:rsidR="00434BFC" w:rsidRPr="00434BFC" w:rsidTr="00434BFC">
        <w:tc>
          <w:tcPr>
            <w:tcW w:w="0" w:type="auto"/>
            <w:shd w:val="clear" w:color="auto" w:fill="EEEEEE"/>
            <w:tcMar>
              <w:top w:w="75" w:type="dxa"/>
              <w:left w:w="75" w:type="dxa"/>
              <w:bottom w:w="75" w:type="dxa"/>
              <w:right w:w="75" w:type="dxa"/>
            </w:tcMar>
            <w:hideMark/>
          </w:tcPr>
          <w:tbl>
            <w:tblPr>
              <w:tblW w:w="2790" w:type="dxa"/>
              <w:tblCellMar>
                <w:left w:w="0" w:type="dxa"/>
                <w:right w:w="0" w:type="dxa"/>
              </w:tblCellMar>
              <w:tblLook w:val="04A0" w:firstRow="1" w:lastRow="0" w:firstColumn="1" w:lastColumn="0" w:noHBand="0" w:noVBand="1"/>
            </w:tblPr>
            <w:tblGrid>
              <w:gridCol w:w="2790"/>
            </w:tblGrid>
            <w:tr w:rsidR="00434BFC" w:rsidRPr="00434BFC">
              <w:tc>
                <w:tcPr>
                  <w:tcW w:w="0" w:type="auto"/>
                  <w:shd w:val="clear" w:color="auto" w:fill="auto"/>
                  <w:tcMar>
                    <w:top w:w="75" w:type="dxa"/>
                    <w:left w:w="75" w:type="dxa"/>
                    <w:bottom w:w="75" w:type="dxa"/>
                    <w:right w:w="75" w:type="dxa"/>
                  </w:tcMar>
                  <w:vAlign w:val="center"/>
                  <w:hideMark/>
                </w:tcPr>
                <w:p w:rsidR="00434BFC" w:rsidRPr="00434BFC" w:rsidRDefault="00434BFC" w:rsidP="00434BFC">
                  <w:pPr>
                    <w:spacing w:after="0" w:line="240" w:lineRule="auto"/>
                    <w:jc w:val="center"/>
                    <w:rPr>
                      <w:rFonts w:ascii="Times New Roman" w:eastAsia="Times New Roman" w:hAnsi="Times New Roman" w:cs="Times New Roman"/>
                      <w:sz w:val="24"/>
                      <w:szCs w:val="24"/>
                    </w:rPr>
                  </w:pPr>
                  <w:hyperlink r:id="rId16" w:history="1">
                    <w:r w:rsidRPr="00434BFC">
                      <w:rPr>
                        <w:rFonts w:ascii="Times New Roman" w:eastAsia="Times New Roman" w:hAnsi="Times New Roman" w:cs="Times New Roman"/>
                        <w:b/>
                        <w:bCs/>
                        <w:color w:val="FFFFFF"/>
                        <w:sz w:val="23"/>
                        <w:szCs w:val="23"/>
                        <w:u w:val="single"/>
                        <w:bdr w:val="single" w:sz="6" w:space="7" w:color="auto" w:frame="1"/>
                        <w:shd w:val="clear" w:color="auto" w:fill="0074CC"/>
                      </w:rPr>
                      <w:t>Presidents IAT</w:t>
                    </w:r>
                  </w:hyperlink>
                </w:p>
              </w:tc>
            </w:tr>
          </w:tbl>
          <w:p w:rsidR="00434BFC" w:rsidRPr="00434BFC" w:rsidRDefault="00434BFC" w:rsidP="00434BFC">
            <w:pPr>
              <w:spacing w:after="0" w:line="240" w:lineRule="auto"/>
              <w:rPr>
                <w:rFonts w:ascii="swisscustom" w:eastAsia="Times New Roman" w:hAnsi="swisscustom" w:cs="Times New Roman"/>
                <w:color w:val="333333"/>
                <w:sz w:val="27"/>
                <w:szCs w:val="27"/>
              </w:rPr>
            </w:pPr>
          </w:p>
        </w:tc>
        <w:tc>
          <w:tcPr>
            <w:tcW w:w="0" w:type="auto"/>
            <w:shd w:val="clear" w:color="auto" w:fill="EEEEEE"/>
            <w:tcMar>
              <w:top w:w="75" w:type="dxa"/>
              <w:left w:w="75" w:type="dxa"/>
              <w:bottom w:w="75" w:type="dxa"/>
              <w:right w:w="75" w:type="dxa"/>
            </w:tcMar>
            <w:hideMark/>
          </w:tcPr>
          <w:p w:rsidR="00434BFC" w:rsidRPr="00434BFC" w:rsidRDefault="00434BFC" w:rsidP="00434BFC">
            <w:pPr>
              <w:spacing w:after="0" w:line="240" w:lineRule="auto"/>
              <w:rPr>
                <w:rFonts w:ascii="swisscustom" w:eastAsia="Times New Roman" w:hAnsi="swisscustom" w:cs="Times New Roman"/>
                <w:color w:val="333333"/>
                <w:sz w:val="27"/>
                <w:szCs w:val="27"/>
              </w:rPr>
            </w:pPr>
            <w:r w:rsidRPr="00434BFC">
              <w:rPr>
                <w:rFonts w:ascii="swisscustom" w:eastAsia="Times New Roman" w:hAnsi="swisscustom" w:cs="Times New Roman"/>
                <w:b/>
                <w:bCs/>
                <w:i/>
                <w:iCs/>
                <w:color w:val="333333"/>
                <w:sz w:val="27"/>
                <w:szCs w:val="27"/>
              </w:rPr>
              <w:t>Presidents</w:t>
            </w:r>
            <w:r w:rsidRPr="00434BFC">
              <w:rPr>
                <w:rFonts w:ascii="swisscustom" w:eastAsia="Times New Roman" w:hAnsi="swisscustom" w:cs="Times New Roman"/>
                <w:b/>
                <w:bCs/>
                <w:color w:val="333333"/>
                <w:sz w:val="27"/>
                <w:szCs w:val="27"/>
              </w:rPr>
              <w:t> ('Presidential Popularity' IAT).</w:t>
            </w:r>
            <w:r w:rsidRPr="00434BFC">
              <w:rPr>
                <w:rFonts w:ascii="swisscustom" w:eastAsia="Times New Roman" w:hAnsi="swisscustom" w:cs="Times New Roman"/>
                <w:color w:val="333333"/>
                <w:sz w:val="27"/>
                <w:szCs w:val="27"/>
              </w:rPr>
              <w:t> This IAT requires the ability to recognize photos of Donald Trump and one or more previous presidents.</w:t>
            </w:r>
          </w:p>
        </w:tc>
      </w:tr>
    </w:tbl>
    <w:p w:rsidR="00434BFC" w:rsidRPr="00434BFC" w:rsidRDefault="00434BFC" w:rsidP="00434BFC">
      <w:pPr>
        <w:shd w:val="clear" w:color="auto" w:fill="EEEEEE"/>
        <w:spacing w:after="225" w:line="240" w:lineRule="auto"/>
        <w:rPr>
          <w:rFonts w:ascii="swisscustom" w:eastAsia="Times New Roman" w:hAnsi="swisscustom" w:cs="Times New Roman"/>
          <w:color w:val="333333"/>
          <w:sz w:val="32"/>
          <w:szCs w:val="32"/>
        </w:rPr>
      </w:pPr>
      <w:hyperlink r:id="rId17" w:history="1">
        <w:r w:rsidRPr="00434BFC">
          <w:rPr>
            <w:rFonts w:ascii="swisscustom" w:eastAsia="Times New Roman" w:hAnsi="swisscustom" w:cs="Times New Roman"/>
            <w:color w:val="337AB7"/>
            <w:sz w:val="32"/>
            <w:szCs w:val="32"/>
            <w:u w:val="single"/>
          </w:rPr>
          <w:t>Copyright © Project Implicit</w:t>
        </w:r>
      </w:hyperlink>
    </w:p>
    <w:p w:rsidR="0041158B" w:rsidRDefault="0041158B"/>
    <w:p w:rsidR="00821CC2" w:rsidRPr="00821CC2" w:rsidRDefault="00821CC2">
      <w:pPr>
        <w:rPr>
          <w:sz w:val="28"/>
          <w:szCs w:val="28"/>
        </w:rPr>
      </w:pPr>
      <w:hyperlink r:id="rId18" w:history="1">
        <w:r w:rsidRPr="00406A9F">
          <w:rPr>
            <w:rStyle w:val="Hyperlink"/>
            <w:sz w:val="28"/>
            <w:szCs w:val="28"/>
          </w:rPr>
          <w:t>https://implicit.harvard.edu</w:t>
        </w:r>
      </w:hyperlink>
      <w:r>
        <w:rPr>
          <w:sz w:val="28"/>
          <w:szCs w:val="28"/>
        </w:rPr>
        <w:t xml:space="preserve"> to take the test!</w:t>
      </w:r>
      <w:bookmarkStart w:id="0" w:name="_GoBack"/>
      <w:bookmarkEnd w:id="0"/>
    </w:p>
    <w:sectPr w:rsidR="00821CC2" w:rsidRPr="0082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custo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FC"/>
    <w:rsid w:val="0041158B"/>
    <w:rsid w:val="00434BFC"/>
    <w:rsid w:val="0082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7191"/>
  <w15:chartTrackingRefBased/>
  <w15:docId w15:val="{16C43C0A-86AD-47C4-8777-AC842D11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BFC"/>
    <w:rPr>
      <w:b/>
      <w:bCs/>
    </w:rPr>
  </w:style>
  <w:style w:type="character" w:styleId="Emphasis">
    <w:name w:val="Emphasis"/>
    <w:basedOn w:val="DefaultParagraphFont"/>
    <w:uiPriority w:val="20"/>
    <w:qFormat/>
    <w:rsid w:val="00434BFC"/>
    <w:rPr>
      <w:i/>
      <w:iCs/>
    </w:rPr>
  </w:style>
  <w:style w:type="character" w:customStyle="1" w:styleId="apple-converted-space">
    <w:name w:val="apple-converted-space"/>
    <w:basedOn w:val="DefaultParagraphFont"/>
    <w:rsid w:val="00434BFC"/>
  </w:style>
  <w:style w:type="character" w:styleId="Hyperlink">
    <w:name w:val="Hyperlink"/>
    <w:basedOn w:val="DefaultParagraphFont"/>
    <w:uiPriority w:val="99"/>
    <w:unhideWhenUsed/>
    <w:rsid w:val="00434BFC"/>
    <w:rPr>
      <w:color w:val="0000FF"/>
      <w:u w:val="single"/>
    </w:rPr>
  </w:style>
  <w:style w:type="paragraph" w:customStyle="1" w:styleId="smltext">
    <w:name w:val="smltext"/>
    <w:basedOn w:val="Normal"/>
    <w:rsid w:val="00434BF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821C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5338">
      <w:bodyDiv w:val="1"/>
      <w:marLeft w:val="0"/>
      <w:marRight w:val="0"/>
      <w:marTop w:val="0"/>
      <w:marBottom w:val="0"/>
      <w:divBdr>
        <w:top w:val="none" w:sz="0" w:space="0" w:color="auto"/>
        <w:left w:val="none" w:sz="0" w:space="0" w:color="auto"/>
        <w:bottom w:val="none" w:sz="0" w:space="0" w:color="auto"/>
        <w:right w:val="none" w:sz="0" w:space="0" w:color="auto"/>
      </w:divBdr>
      <w:divsChild>
        <w:div w:id="62799434">
          <w:marLeft w:val="0"/>
          <w:marRight w:val="0"/>
          <w:marTop w:val="0"/>
          <w:marBottom w:val="0"/>
          <w:divBdr>
            <w:top w:val="none" w:sz="0" w:space="0" w:color="auto"/>
            <w:left w:val="none" w:sz="0" w:space="0" w:color="auto"/>
            <w:bottom w:val="none" w:sz="0" w:space="0" w:color="auto"/>
            <w:right w:val="none" w:sz="0" w:space="0" w:color="auto"/>
          </w:divBdr>
        </w:div>
        <w:div w:id="523132892">
          <w:marLeft w:val="0"/>
          <w:marRight w:val="0"/>
          <w:marTop w:val="0"/>
          <w:marBottom w:val="0"/>
          <w:divBdr>
            <w:top w:val="none" w:sz="0" w:space="0" w:color="auto"/>
            <w:left w:val="none" w:sz="0" w:space="0" w:color="auto"/>
            <w:bottom w:val="none" w:sz="0" w:space="0" w:color="auto"/>
            <w:right w:val="none" w:sz="0" w:space="0" w:color="auto"/>
          </w:divBdr>
        </w:div>
        <w:div w:id="335114776">
          <w:marLeft w:val="0"/>
          <w:marRight w:val="0"/>
          <w:marTop w:val="0"/>
          <w:marBottom w:val="0"/>
          <w:divBdr>
            <w:top w:val="none" w:sz="0" w:space="0" w:color="auto"/>
            <w:left w:val="none" w:sz="0" w:space="0" w:color="auto"/>
            <w:bottom w:val="none" w:sz="0" w:space="0" w:color="auto"/>
            <w:right w:val="none" w:sz="0" w:space="0" w:color="auto"/>
          </w:divBdr>
        </w:div>
        <w:div w:id="882713565">
          <w:marLeft w:val="0"/>
          <w:marRight w:val="0"/>
          <w:marTop w:val="0"/>
          <w:marBottom w:val="0"/>
          <w:divBdr>
            <w:top w:val="none" w:sz="0" w:space="0" w:color="auto"/>
            <w:left w:val="none" w:sz="0" w:space="0" w:color="auto"/>
            <w:bottom w:val="none" w:sz="0" w:space="0" w:color="auto"/>
            <w:right w:val="none" w:sz="0" w:space="0" w:color="auto"/>
          </w:divBdr>
        </w:div>
        <w:div w:id="150412662">
          <w:marLeft w:val="0"/>
          <w:marRight w:val="0"/>
          <w:marTop w:val="0"/>
          <w:marBottom w:val="0"/>
          <w:divBdr>
            <w:top w:val="none" w:sz="0" w:space="0" w:color="auto"/>
            <w:left w:val="none" w:sz="0" w:space="0" w:color="auto"/>
            <w:bottom w:val="none" w:sz="0" w:space="0" w:color="auto"/>
            <w:right w:val="none" w:sz="0" w:space="0" w:color="auto"/>
          </w:divBdr>
        </w:div>
        <w:div w:id="582029221">
          <w:marLeft w:val="0"/>
          <w:marRight w:val="0"/>
          <w:marTop w:val="0"/>
          <w:marBottom w:val="0"/>
          <w:divBdr>
            <w:top w:val="none" w:sz="0" w:space="0" w:color="auto"/>
            <w:left w:val="none" w:sz="0" w:space="0" w:color="auto"/>
            <w:bottom w:val="none" w:sz="0" w:space="0" w:color="auto"/>
            <w:right w:val="none" w:sz="0" w:space="0" w:color="auto"/>
          </w:divBdr>
        </w:div>
        <w:div w:id="781343094">
          <w:marLeft w:val="0"/>
          <w:marRight w:val="0"/>
          <w:marTop w:val="0"/>
          <w:marBottom w:val="0"/>
          <w:divBdr>
            <w:top w:val="none" w:sz="0" w:space="0" w:color="auto"/>
            <w:left w:val="none" w:sz="0" w:space="0" w:color="auto"/>
            <w:bottom w:val="none" w:sz="0" w:space="0" w:color="auto"/>
            <w:right w:val="none" w:sz="0" w:space="0" w:color="auto"/>
          </w:divBdr>
        </w:div>
        <w:div w:id="2045445190">
          <w:marLeft w:val="0"/>
          <w:marRight w:val="0"/>
          <w:marTop w:val="0"/>
          <w:marBottom w:val="0"/>
          <w:divBdr>
            <w:top w:val="none" w:sz="0" w:space="0" w:color="auto"/>
            <w:left w:val="none" w:sz="0" w:space="0" w:color="auto"/>
            <w:bottom w:val="none" w:sz="0" w:space="0" w:color="auto"/>
            <w:right w:val="none" w:sz="0" w:space="0" w:color="auto"/>
          </w:divBdr>
        </w:div>
        <w:div w:id="853424833">
          <w:marLeft w:val="0"/>
          <w:marRight w:val="0"/>
          <w:marTop w:val="0"/>
          <w:marBottom w:val="0"/>
          <w:divBdr>
            <w:top w:val="none" w:sz="0" w:space="0" w:color="auto"/>
            <w:left w:val="none" w:sz="0" w:space="0" w:color="auto"/>
            <w:bottom w:val="none" w:sz="0" w:space="0" w:color="auto"/>
            <w:right w:val="none" w:sz="0" w:space="0" w:color="auto"/>
          </w:divBdr>
        </w:div>
        <w:div w:id="738213972">
          <w:marLeft w:val="0"/>
          <w:marRight w:val="0"/>
          <w:marTop w:val="0"/>
          <w:marBottom w:val="0"/>
          <w:divBdr>
            <w:top w:val="none" w:sz="0" w:space="0" w:color="auto"/>
            <w:left w:val="none" w:sz="0" w:space="0" w:color="auto"/>
            <w:bottom w:val="none" w:sz="0" w:space="0" w:color="auto"/>
            <w:right w:val="none" w:sz="0" w:space="0" w:color="auto"/>
          </w:divBdr>
        </w:div>
        <w:div w:id="1702703195">
          <w:marLeft w:val="0"/>
          <w:marRight w:val="0"/>
          <w:marTop w:val="0"/>
          <w:marBottom w:val="0"/>
          <w:divBdr>
            <w:top w:val="none" w:sz="0" w:space="0" w:color="auto"/>
            <w:left w:val="none" w:sz="0" w:space="0" w:color="auto"/>
            <w:bottom w:val="none" w:sz="0" w:space="0" w:color="auto"/>
            <w:right w:val="none" w:sz="0" w:space="0" w:color="auto"/>
          </w:divBdr>
        </w:div>
        <w:div w:id="834804751">
          <w:marLeft w:val="0"/>
          <w:marRight w:val="0"/>
          <w:marTop w:val="0"/>
          <w:marBottom w:val="0"/>
          <w:divBdr>
            <w:top w:val="none" w:sz="0" w:space="0" w:color="auto"/>
            <w:left w:val="none" w:sz="0" w:space="0" w:color="auto"/>
            <w:bottom w:val="none" w:sz="0" w:space="0" w:color="auto"/>
            <w:right w:val="none" w:sz="0" w:space="0" w:color="auto"/>
          </w:divBdr>
        </w:div>
        <w:div w:id="1604071165">
          <w:marLeft w:val="0"/>
          <w:marRight w:val="0"/>
          <w:marTop w:val="0"/>
          <w:marBottom w:val="0"/>
          <w:divBdr>
            <w:top w:val="none" w:sz="0" w:space="0" w:color="auto"/>
            <w:left w:val="none" w:sz="0" w:space="0" w:color="auto"/>
            <w:bottom w:val="none" w:sz="0" w:space="0" w:color="auto"/>
            <w:right w:val="none" w:sz="0" w:space="0" w:color="auto"/>
          </w:divBdr>
        </w:div>
        <w:div w:id="151094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Launch?study=/user/demo.us/demo.disability.0002/disabilitydemo.expt.xml" TargetMode="External"/><Relationship Id="rId13" Type="http://schemas.openxmlformats.org/officeDocument/2006/relationships/hyperlink" Target="https://implicit.harvard.edu/implicit/Launch?study=/user/demo.us/demo.weapons.0002/weaponsdemo.expt.xml" TargetMode="External"/><Relationship Id="rId18" Type="http://schemas.openxmlformats.org/officeDocument/2006/relationships/hyperlink" Target="https://implicit.harvard.edu" TargetMode="External"/><Relationship Id="rId3" Type="http://schemas.openxmlformats.org/officeDocument/2006/relationships/webSettings" Target="webSettings.xml"/><Relationship Id="rId7" Type="http://schemas.openxmlformats.org/officeDocument/2006/relationships/hyperlink" Target="https://implicit.harvard.edu/implicit/Launch?study=/user/demo.us/demo.skin.0002/skindemo.expt.xml" TargetMode="External"/><Relationship Id="rId12" Type="http://schemas.openxmlformats.org/officeDocument/2006/relationships/hyperlink" Target="https://implicit.harvard.edu/implicit/Launch?study=/user/demo.us/demo.sexuality.0002/sexualitydemo.expt.xml" TargetMode="External"/><Relationship Id="rId17" Type="http://schemas.openxmlformats.org/officeDocument/2006/relationships/hyperlink" Target="https://implicit.harvard.edu/implicit/copyright.html" TargetMode="External"/><Relationship Id="rId2" Type="http://schemas.openxmlformats.org/officeDocument/2006/relationships/settings" Target="settings.xml"/><Relationship Id="rId16" Type="http://schemas.openxmlformats.org/officeDocument/2006/relationships/hyperlink" Target="https://implicit.harvard.edu/implicit/Launch?study=/user/demo.us/demo.president.0004/presidentdemo.expt.x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mplicit.harvard.edu/implicit/Launch?study=/user/demo.us/demo.religion.0002/religiondemo.expt.xml" TargetMode="External"/><Relationship Id="rId11" Type="http://schemas.openxmlformats.org/officeDocument/2006/relationships/hyperlink" Target="https://implicit.harvard.edu/implicit/Launch?study=/user/demo.us/demo.age.0002/agedemo.expt.xml" TargetMode="External"/><Relationship Id="rId5" Type="http://schemas.openxmlformats.org/officeDocument/2006/relationships/hyperlink" Target="https://implicit.harvard.edu/implicit/Launch?study=/user/demo.us/demo.genderscience.0002/sciencedemo.expt.xml" TargetMode="External"/><Relationship Id="rId15" Type="http://schemas.openxmlformats.org/officeDocument/2006/relationships/hyperlink" Target="https://implicit.harvard.edu/implicit/Launch?study=/user/demo.us/demo.arab.0002/arabdemo.expt.xml" TargetMode="External"/><Relationship Id="rId10" Type="http://schemas.openxmlformats.org/officeDocument/2006/relationships/hyperlink" Target="https://implicit.harvard.edu/implicit/Launch?study=/user/demo.us/demo.weight.0003/weightdemo.expt.xml" TargetMode="External"/><Relationship Id="rId19" Type="http://schemas.openxmlformats.org/officeDocument/2006/relationships/fontTable" Target="fontTable.xml"/><Relationship Id="rId4" Type="http://schemas.openxmlformats.org/officeDocument/2006/relationships/hyperlink" Target="https://implicit.harvard.edu/implicit/Launch?study=/user/demo.us/demo.nativeamer.0002/nativeamdemo.expt.xml" TargetMode="External"/><Relationship Id="rId9" Type="http://schemas.openxmlformats.org/officeDocument/2006/relationships/hyperlink" Target="https://implicit.harvard.edu/implicit/Launch?study=/user/demo.us/demo.race.0005/racedemo.expt.xml" TargetMode="External"/><Relationship Id="rId14" Type="http://schemas.openxmlformats.org/officeDocument/2006/relationships/hyperlink" Target="https://implicit.harvard.edu/implicit/Launch?study=/user/demo.us/demo.asianamer.0002/asiandemo.expt.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2</cp:revision>
  <dcterms:created xsi:type="dcterms:W3CDTF">2017-05-03T14:26:00Z</dcterms:created>
  <dcterms:modified xsi:type="dcterms:W3CDTF">2017-05-03T14:30:00Z</dcterms:modified>
</cp:coreProperties>
</file>